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88E" w:rsidRPr="0031288E" w:rsidRDefault="004F5A32" w:rsidP="0031288E">
      <w:pPr>
        <w:pStyle w:val="CRCoverPage"/>
        <w:tabs>
          <w:tab w:val="right" w:pos="9639"/>
        </w:tabs>
        <w:jc w:val="both"/>
        <w:rPr>
          <w:b/>
          <w:i/>
          <w:noProof/>
          <w:sz w:val="22"/>
          <w:szCs w:val="22"/>
          <w:lang w:val="en-US"/>
        </w:rPr>
      </w:pPr>
      <w:r>
        <w:rPr>
          <w:b/>
          <w:noProof/>
          <w:sz w:val="22"/>
          <w:szCs w:val="22"/>
        </w:rPr>
        <w:t>3GPP TSG-RAN WG4 Meeting #90</w:t>
      </w:r>
      <w:r w:rsidR="0031288E" w:rsidRPr="0031288E">
        <w:rPr>
          <w:b/>
          <w:i/>
          <w:noProof/>
          <w:sz w:val="22"/>
          <w:szCs w:val="22"/>
        </w:rPr>
        <w:t xml:space="preserve"> </w:t>
      </w:r>
      <w:r w:rsidR="0031288E" w:rsidRPr="0031288E">
        <w:rPr>
          <w:b/>
          <w:i/>
          <w:noProof/>
          <w:sz w:val="22"/>
          <w:szCs w:val="22"/>
        </w:rPr>
        <w:tab/>
      </w:r>
      <w:r w:rsidR="00A55792" w:rsidRPr="00A55792">
        <w:rPr>
          <w:b/>
          <w:i/>
          <w:noProof/>
          <w:sz w:val="22"/>
          <w:szCs w:val="22"/>
        </w:rPr>
        <w:t>R4-1900372</w:t>
      </w:r>
    </w:p>
    <w:p w:rsidR="0031288E" w:rsidRPr="0031288E" w:rsidRDefault="004F5A32" w:rsidP="0031288E">
      <w:pPr>
        <w:tabs>
          <w:tab w:val="left" w:pos="1985"/>
        </w:tabs>
        <w:spacing w:after="120"/>
        <w:jc w:val="both"/>
        <w:rPr>
          <w:rFonts w:ascii="Arial" w:hAnsi="Arial" w:cs="Arial"/>
          <w:b/>
          <w:noProof/>
          <w:sz w:val="22"/>
          <w:szCs w:val="22"/>
        </w:rPr>
      </w:pPr>
      <w:r w:rsidRPr="004F5A32">
        <w:rPr>
          <w:rFonts w:ascii="Arial" w:hAnsi="Arial" w:cs="Arial"/>
          <w:b/>
          <w:noProof/>
          <w:sz w:val="22"/>
          <w:szCs w:val="22"/>
        </w:rPr>
        <w:t>Athens</w:t>
      </w:r>
      <w:r w:rsidR="0031288E" w:rsidRPr="0031288E">
        <w:rPr>
          <w:rFonts w:ascii="Arial" w:hAnsi="Arial" w:cs="Arial"/>
          <w:b/>
          <w:noProof/>
          <w:sz w:val="22"/>
          <w:szCs w:val="22"/>
        </w:rPr>
        <w:t xml:space="preserve">, </w:t>
      </w:r>
      <w:r>
        <w:rPr>
          <w:rFonts w:ascii="Arial" w:hAnsi="Arial" w:cs="Arial"/>
          <w:b/>
          <w:noProof/>
          <w:sz w:val="22"/>
          <w:szCs w:val="22"/>
        </w:rPr>
        <w:t>Greece</w:t>
      </w:r>
      <w:r w:rsidR="0031288E" w:rsidRPr="0031288E">
        <w:rPr>
          <w:rFonts w:ascii="Arial" w:hAnsi="Arial" w:cs="Arial"/>
          <w:b/>
          <w:noProof/>
          <w:sz w:val="22"/>
          <w:szCs w:val="22"/>
        </w:rPr>
        <w:t xml:space="preserve">, </w:t>
      </w:r>
      <w:r>
        <w:rPr>
          <w:rFonts w:ascii="Arial" w:hAnsi="Arial" w:cs="Arial"/>
          <w:b/>
          <w:noProof/>
          <w:sz w:val="22"/>
          <w:szCs w:val="22"/>
        </w:rPr>
        <w:t>Feburary 25 – March 1</w:t>
      </w:r>
      <w:r w:rsidR="0031288E" w:rsidRPr="0031288E">
        <w:rPr>
          <w:rFonts w:ascii="Arial" w:hAnsi="Arial" w:cs="Arial"/>
          <w:b/>
          <w:noProof/>
          <w:sz w:val="22"/>
          <w:szCs w:val="22"/>
        </w:rPr>
        <w:t>, 2018</w:t>
      </w: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t>6.12.6</w:t>
      </w:r>
      <w:bookmarkStart w:id="1" w:name="_GoBack"/>
      <w:bookmarkEnd w:id="1"/>
    </w:p>
    <w:p w:rsidR="0031288E" w:rsidRPr="0031288E" w:rsidRDefault="0031288E" w:rsidP="0031288E">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31288E">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33C6E">
        <w:rPr>
          <w:rFonts w:ascii="Arial" w:hAnsi="Arial" w:cs="Arial"/>
          <w:b/>
          <w:sz w:val="22"/>
          <w:szCs w:val="22"/>
        </w:rPr>
        <w:t xml:space="preserve">On </w:t>
      </w:r>
      <w:r w:rsidR="00533C6E" w:rsidRPr="00533C6E">
        <w:rPr>
          <w:rFonts w:ascii="Arial" w:hAnsi="Arial" w:cs="Arial"/>
          <w:b/>
          <w:sz w:val="22"/>
          <w:szCs w:val="22"/>
        </w:rPr>
        <w:t>MRTD requirem</w:t>
      </w:r>
      <w:r w:rsidR="00795115">
        <w:rPr>
          <w:rFonts w:ascii="Arial" w:hAnsi="Arial" w:cs="Arial"/>
          <w:b/>
          <w:sz w:val="22"/>
          <w:szCs w:val="22"/>
        </w:rPr>
        <w:t xml:space="preserve">ent for non-contiguous CA </w:t>
      </w: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Pr="0031288E">
        <w:rPr>
          <w:rFonts w:ascii="Arial" w:hAnsi="Arial" w:cs="Arial"/>
          <w:b/>
          <w:sz w:val="22"/>
          <w:szCs w:val="22"/>
        </w:rPr>
        <w:t>Discussion</w:t>
      </w:r>
    </w:p>
    <w:p w:rsidR="0031288E" w:rsidRPr="00A137D5" w:rsidRDefault="0031288E" w:rsidP="0031288E">
      <w:pPr>
        <w:pStyle w:val="Heading1"/>
        <w:numPr>
          <w:ilvl w:val="0"/>
          <w:numId w:val="1"/>
        </w:numPr>
        <w:pBdr>
          <w:top w:val="single" w:sz="12" w:space="2" w:color="auto"/>
        </w:pBdr>
        <w:rPr>
          <w:sz w:val="32"/>
        </w:rPr>
      </w:pPr>
      <w:r w:rsidRPr="00A137D5">
        <w:rPr>
          <w:sz w:val="32"/>
        </w:rPr>
        <w:t>Introduction</w:t>
      </w:r>
    </w:p>
    <w:p w:rsidR="0031288E" w:rsidRPr="0031288E" w:rsidRDefault="00806F11" w:rsidP="0031288E">
      <w:pPr>
        <w:jc w:val="both"/>
        <w:rPr>
          <w:lang w:val="en-US" w:eastAsia="zh-CN"/>
        </w:rPr>
      </w:pPr>
      <w:r>
        <w:rPr>
          <w:lang w:val="en-US" w:eastAsia="zh-CN"/>
        </w:rPr>
        <w:t xml:space="preserve">In RAN4 meeting #89, the implementation issue on Rx beam switch caused by the existing MRTD requirement on </w:t>
      </w:r>
      <w:r w:rsidR="00E300E6">
        <w:rPr>
          <w:lang w:val="en-US" w:eastAsia="zh-CN"/>
        </w:rPr>
        <w:t>intra-band non-contiguous CA</w:t>
      </w:r>
      <w:r>
        <w:rPr>
          <w:lang w:val="en-US" w:eastAsia="zh-CN"/>
        </w:rPr>
        <w:t xml:space="preserve"> has been identified [1]</w:t>
      </w:r>
      <w:r w:rsidR="0031288E" w:rsidRPr="0031288E">
        <w:rPr>
          <w:lang w:val="en-US" w:eastAsia="zh-CN"/>
        </w:rPr>
        <w:t>.</w:t>
      </w:r>
      <w:r w:rsidR="00EC2C55">
        <w:rPr>
          <w:lang w:val="en-US" w:eastAsia="zh-CN"/>
        </w:rPr>
        <w:t xml:space="preserve"> This contribution provide our view on the</w:t>
      </w:r>
      <w:r w:rsidR="00D9761B">
        <w:rPr>
          <w:lang w:val="en-US" w:eastAsia="zh-CN"/>
        </w:rPr>
        <w:t xml:space="preserve"> solution to this problem</w:t>
      </w:r>
      <w:r w:rsidR="00EC2C55">
        <w:rPr>
          <w:lang w:val="en-US" w:eastAsia="zh-CN"/>
        </w:rPr>
        <w:t xml:space="preserve">. </w:t>
      </w:r>
    </w:p>
    <w:p w:rsidR="008C789E" w:rsidRPr="008C789E" w:rsidRDefault="00EC2C55" w:rsidP="008C789E">
      <w:pPr>
        <w:pStyle w:val="Heading1"/>
        <w:numPr>
          <w:ilvl w:val="0"/>
          <w:numId w:val="1"/>
        </w:numPr>
        <w:tabs>
          <w:tab w:val="num" w:pos="45"/>
        </w:tabs>
        <w:ind w:left="405"/>
        <w:rPr>
          <w:rFonts w:eastAsia="SimSun"/>
          <w:sz w:val="32"/>
          <w:szCs w:val="32"/>
        </w:rPr>
      </w:pPr>
      <w:r>
        <w:rPr>
          <w:rFonts w:eastAsia="SimSun"/>
          <w:sz w:val="32"/>
          <w:szCs w:val="32"/>
        </w:rPr>
        <w:t>Proposals</w:t>
      </w:r>
      <w:r w:rsidR="00D9761B">
        <w:rPr>
          <w:rFonts w:eastAsia="SimSun"/>
          <w:sz w:val="32"/>
          <w:szCs w:val="32"/>
        </w:rPr>
        <w:t xml:space="preserve"> </w:t>
      </w:r>
    </w:p>
    <w:p w:rsidR="008C789E" w:rsidRPr="008C789E" w:rsidRDefault="008C789E" w:rsidP="008C789E">
      <w:pPr>
        <w:pStyle w:val="ListParagraph"/>
        <w:numPr>
          <w:ilvl w:val="0"/>
          <w:numId w:val="30"/>
        </w:numPr>
        <w:ind w:firstLineChars="0"/>
        <w:rPr>
          <w:vanish/>
          <w:lang w:eastAsia="zh-CN"/>
        </w:rPr>
      </w:pPr>
    </w:p>
    <w:p w:rsidR="0079295D" w:rsidRDefault="0079295D" w:rsidP="0079295D">
      <w:pPr>
        <w:spacing w:after="120"/>
        <w:rPr>
          <w:lang w:eastAsia="zh-CN"/>
        </w:rPr>
      </w:pPr>
      <w:r>
        <w:rPr>
          <w:lang w:eastAsia="zh-CN"/>
        </w:rPr>
        <w:t>In 38.133, the MRTD requirements for intra-band non-contiguous CA are defined as follows:</w:t>
      </w:r>
    </w:p>
    <w:p w:rsidR="0079295D" w:rsidRPr="00D724BA" w:rsidRDefault="0079295D" w:rsidP="0079295D">
      <w:pPr>
        <w:rPr>
          <w:rFonts w:cs="v4.2.0"/>
          <w:i/>
        </w:rPr>
      </w:pPr>
      <w:r>
        <w:rPr>
          <w:lang w:eastAsia="zh-CN"/>
        </w:rPr>
        <w:t>“</w:t>
      </w:r>
      <w:r w:rsidRPr="00D724BA">
        <w:rPr>
          <w:rFonts w:cs="v4.2.0"/>
          <w:i/>
        </w:rPr>
        <w:t xml:space="preserve">For intra-band </w:t>
      </w:r>
      <w:r w:rsidRPr="00D724BA">
        <w:rPr>
          <w:rFonts w:eastAsia="Malgun Gothic" w:cs="v4.2.0"/>
          <w:i/>
          <w:lang w:eastAsia="zh-CN"/>
        </w:rPr>
        <w:t>CA</w:t>
      </w:r>
      <w:r w:rsidRPr="00D724BA">
        <w:rPr>
          <w:rFonts w:cs="v4.2.0"/>
          <w:i/>
        </w:rPr>
        <w:t>, only</w:t>
      </w:r>
      <w:r w:rsidRPr="00D724BA">
        <w:rPr>
          <w:rFonts w:cs="v4.2.0"/>
          <w:i/>
          <w:lang w:eastAsia="zh-CN"/>
        </w:rPr>
        <w:t xml:space="preserve"> </w:t>
      </w:r>
      <w:r w:rsidRPr="00D724BA">
        <w:rPr>
          <w:rFonts w:cs="v4.2.0"/>
          <w:i/>
        </w:rPr>
        <w:t xml:space="preserve">collocated deployment is </w:t>
      </w:r>
      <w:r w:rsidRPr="00D724BA">
        <w:rPr>
          <w:rFonts w:cs="v4.2.0"/>
          <w:i/>
          <w:lang w:eastAsia="zh-CN"/>
        </w:rPr>
        <w:t>applied.</w:t>
      </w:r>
      <w:r w:rsidRPr="00D724BA">
        <w:rPr>
          <w:rFonts w:eastAsia="Malgun Gothic" w:cs="v4.2.0"/>
          <w:i/>
          <w:lang w:eastAsia="zh-CN"/>
        </w:rPr>
        <w:t xml:space="preserve"> </w:t>
      </w:r>
      <w:r w:rsidRPr="00D724BA">
        <w:rPr>
          <w:rFonts w:cs="v4.2.0"/>
          <w:i/>
        </w:rPr>
        <w:t>For intra-band non-contiguous NR carrier aggregation, the UE shall be capable of handling at least a relative receive timing difference between slot timing of different carriers to be aggregated at the UE receiver as shown in Table 7.6.</w:t>
      </w:r>
      <w:r w:rsidRPr="00D724BA">
        <w:rPr>
          <w:rFonts w:eastAsia="Malgun Gothic" w:cs="v4.2.0"/>
          <w:i/>
        </w:rPr>
        <w:t>4</w:t>
      </w:r>
      <w:r w:rsidRPr="00D724BA">
        <w:rPr>
          <w:rFonts w:cs="v4.2.0"/>
          <w:i/>
        </w:rPr>
        <w:t>-1 below.</w:t>
      </w:r>
    </w:p>
    <w:p w:rsidR="0079295D" w:rsidRPr="00D724BA" w:rsidRDefault="0079295D" w:rsidP="0079295D">
      <w:pPr>
        <w:pStyle w:val="TH"/>
        <w:rPr>
          <w:rFonts w:eastAsia="Malgun Gothic"/>
          <w:i/>
          <w:snapToGrid w:val="0"/>
          <w:lang w:eastAsia="ko-KR"/>
        </w:rPr>
      </w:pPr>
      <w:r w:rsidRPr="00D724BA">
        <w:rPr>
          <w:i/>
          <w:snapToGrid w:val="0"/>
        </w:rPr>
        <w:t>Table 7.6.</w:t>
      </w:r>
      <w:r w:rsidRPr="00D724BA">
        <w:rPr>
          <w:rFonts w:eastAsia="Malgun Gothic"/>
          <w:i/>
          <w:snapToGrid w:val="0"/>
        </w:rPr>
        <w:t>4</w:t>
      </w:r>
      <w:r w:rsidRPr="00D724BA">
        <w:rPr>
          <w:i/>
          <w:snapToGrid w:val="0"/>
        </w:rPr>
        <w:t>-</w:t>
      </w:r>
      <w:r w:rsidRPr="00D724BA">
        <w:rPr>
          <w:rFonts w:eastAsia="Malgun Gothic"/>
          <w:i/>
          <w:snapToGrid w:val="0"/>
        </w:rPr>
        <w:t>1</w:t>
      </w:r>
      <w:r w:rsidRPr="00D724BA">
        <w:rPr>
          <w:rFonts w:eastAsia="Malgun Gothic"/>
          <w:i/>
          <w:snapToGrid w:val="0"/>
          <w:lang w:eastAsia="ko-KR"/>
        </w:rPr>
        <w:t>:</w:t>
      </w:r>
      <w:r w:rsidRPr="00D724BA">
        <w:rPr>
          <w:i/>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9295D" w:rsidRPr="00D724BA" w:rsidTr="00561281">
        <w:trPr>
          <w:jc w:val="center"/>
        </w:trPr>
        <w:tc>
          <w:tcPr>
            <w:tcW w:w="2251" w:type="dxa"/>
            <w:shd w:val="clear" w:color="auto" w:fill="auto"/>
          </w:tcPr>
          <w:p w:rsidR="0079295D" w:rsidRPr="00D724BA" w:rsidRDefault="0079295D" w:rsidP="00561281">
            <w:pPr>
              <w:pStyle w:val="TAH"/>
              <w:rPr>
                <w:i/>
              </w:rPr>
            </w:pPr>
            <w:r w:rsidRPr="00D724BA">
              <w:rPr>
                <w:i/>
              </w:rPr>
              <w:t>Frequency Range</w:t>
            </w:r>
          </w:p>
        </w:tc>
        <w:tc>
          <w:tcPr>
            <w:tcW w:w="3003" w:type="dxa"/>
            <w:shd w:val="clear" w:color="auto" w:fill="auto"/>
          </w:tcPr>
          <w:p w:rsidR="0079295D" w:rsidRPr="00D724BA" w:rsidRDefault="0079295D" w:rsidP="00561281">
            <w:pPr>
              <w:pStyle w:val="TAH"/>
              <w:rPr>
                <w:i/>
              </w:rPr>
            </w:pPr>
            <w:r w:rsidRPr="00D724BA">
              <w:rPr>
                <w:i/>
              </w:rPr>
              <w:t xml:space="preserve">Maximum receive timing difference (µs) </w:t>
            </w:r>
          </w:p>
        </w:tc>
      </w:tr>
      <w:tr w:rsidR="0079295D" w:rsidRPr="00D724BA" w:rsidTr="00561281">
        <w:trPr>
          <w:jc w:val="center"/>
        </w:trPr>
        <w:tc>
          <w:tcPr>
            <w:tcW w:w="2251" w:type="dxa"/>
            <w:shd w:val="clear" w:color="auto" w:fill="auto"/>
          </w:tcPr>
          <w:p w:rsidR="0079295D" w:rsidRPr="00D724BA" w:rsidRDefault="0079295D" w:rsidP="00561281">
            <w:pPr>
              <w:pStyle w:val="TAC"/>
              <w:rPr>
                <w:i/>
              </w:rPr>
            </w:pPr>
            <w:r w:rsidRPr="00D724BA">
              <w:rPr>
                <w:i/>
              </w:rPr>
              <w:t>FR1</w:t>
            </w:r>
          </w:p>
        </w:tc>
        <w:tc>
          <w:tcPr>
            <w:tcW w:w="3003" w:type="dxa"/>
            <w:shd w:val="clear" w:color="auto" w:fill="auto"/>
          </w:tcPr>
          <w:p w:rsidR="0079295D" w:rsidRPr="00D724BA" w:rsidRDefault="0079295D" w:rsidP="00561281">
            <w:pPr>
              <w:pStyle w:val="TAC"/>
              <w:rPr>
                <w:i/>
              </w:rPr>
            </w:pPr>
            <w:r w:rsidRPr="00D724BA">
              <w:rPr>
                <w:i/>
              </w:rPr>
              <w:t>3</w:t>
            </w:r>
          </w:p>
        </w:tc>
      </w:tr>
      <w:tr w:rsidR="0079295D" w:rsidRPr="00D724BA" w:rsidTr="00561281">
        <w:trPr>
          <w:jc w:val="center"/>
        </w:trPr>
        <w:tc>
          <w:tcPr>
            <w:tcW w:w="2251" w:type="dxa"/>
            <w:shd w:val="clear" w:color="auto" w:fill="auto"/>
          </w:tcPr>
          <w:p w:rsidR="0079295D" w:rsidRPr="00D724BA" w:rsidRDefault="0079295D" w:rsidP="00561281">
            <w:pPr>
              <w:pStyle w:val="TAC"/>
              <w:rPr>
                <w:i/>
              </w:rPr>
            </w:pPr>
            <w:r w:rsidRPr="00D724BA">
              <w:rPr>
                <w:i/>
              </w:rPr>
              <w:t>FR2</w:t>
            </w:r>
          </w:p>
        </w:tc>
        <w:tc>
          <w:tcPr>
            <w:tcW w:w="3003" w:type="dxa"/>
            <w:shd w:val="clear" w:color="auto" w:fill="auto"/>
          </w:tcPr>
          <w:p w:rsidR="0079295D" w:rsidRPr="00D724BA" w:rsidRDefault="0079295D" w:rsidP="00561281">
            <w:pPr>
              <w:pStyle w:val="TAC"/>
              <w:rPr>
                <w:i/>
              </w:rPr>
            </w:pPr>
            <w:r w:rsidRPr="00D724BA">
              <w:rPr>
                <w:i/>
              </w:rPr>
              <w:t>3</w:t>
            </w:r>
          </w:p>
        </w:tc>
      </w:tr>
    </w:tbl>
    <w:p w:rsidR="0079295D" w:rsidRPr="003445FB" w:rsidRDefault="0079295D" w:rsidP="0079295D">
      <w:pPr>
        <w:rPr>
          <w:rFonts w:eastAsia="Malgun Gothic"/>
          <w:snapToGrid w:val="0"/>
          <w:lang w:eastAsia="ko-KR"/>
        </w:rPr>
      </w:pPr>
    </w:p>
    <w:p w:rsidR="0079295D" w:rsidRDefault="0079295D" w:rsidP="0079295D">
      <w:pPr>
        <w:spacing w:after="120"/>
        <w:rPr>
          <w:lang w:eastAsia="zh-CN"/>
        </w:rPr>
      </w:pPr>
      <w:r>
        <w:rPr>
          <w:lang w:eastAsia="zh-CN"/>
        </w:rPr>
        <w:t>”</w:t>
      </w:r>
    </w:p>
    <w:p w:rsidR="00D9761B" w:rsidRPr="008C789E" w:rsidRDefault="008806E4" w:rsidP="008C789E">
      <w:pPr>
        <w:rPr>
          <w:lang w:val="en-US" w:eastAsia="zh-CN"/>
        </w:rPr>
      </w:pPr>
      <w:r>
        <w:rPr>
          <w:lang w:val="en-US" w:eastAsia="zh-CN"/>
        </w:rPr>
        <w:t>Thus, for the case of intra-band non-contiguous CA, the receiving time difference of two serving CCs</w:t>
      </w:r>
      <w:r w:rsidR="0079295D">
        <w:rPr>
          <w:lang w:val="en-US" w:eastAsia="zh-CN"/>
        </w:rPr>
        <w:t xml:space="preserve"> </w:t>
      </w:r>
      <w:r>
        <w:rPr>
          <w:lang w:val="en-US" w:eastAsia="zh-CN"/>
        </w:rPr>
        <w:t>can be</w:t>
      </w:r>
      <w:r w:rsidR="0079295D">
        <w:rPr>
          <w:lang w:val="en-US" w:eastAsia="zh-CN"/>
        </w:rPr>
        <w:t xml:space="preserve"> larger than the CP length </w:t>
      </w:r>
      <w:r>
        <w:rPr>
          <w:lang w:val="en-US" w:eastAsia="zh-CN"/>
        </w:rPr>
        <w:t>of any SCS in FR2, which will cause</w:t>
      </w:r>
      <w:r w:rsidR="0079295D">
        <w:rPr>
          <w:lang w:val="en-US" w:eastAsia="zh-CN"/>
        </w:rPr>
        <w:t xml:space="preserve"> </w:t>
      </w:r>
      <w:r>
        <w:rPr>
          <w:lang w:val="en-US" w:eastAsia="zh-CN"/>
        </w:rPr>
        <w:t>UE performance degradation under</w:t>
      </w:r>
      <w:r w:rsidR="0079295D">
        <w:rPr>
          <w:lang w:val="en-US" w:eastAsia="zh-CN"/>
        </w:rPr>
        <w:t xml:space="preserve"> </w:t>
      </w:r>
      <w:r w:rsidR="007358EB">
        <w:rPr>
          <w:lang w:val="en-US" w:eastAsia="zh-CN"/>
        </w:rPr>
        <w:t>Rx beam</w:t>
      </w:r>
      <w:r>
        <w:rPr>
          <w:lang w:val="en-US" w:eastAsia="zh-CN"/>
        </w:rPr>
        <w:t xml:space="preserve"> switch.</w:t>
      </w:r>
      <w:r w:rsidR="007358EB">
        <w:rPr>
          <w:lang w:val="en-US" w:eastAsia="zh-CN"/>
        </w:rPr>
        <w:t xml:space="preserve"> </w:t>
      </w:r>
      <w:r w:rsidR="00D55550">
        <w:rPr>
          <w:lang w:val="en-US" w:eastAsia="zh-CN"/>
        </w:rPr>
        <w:t xml:space="preserve">As </w:t>
      </w:r>
      <w:r w:rsidR="007358EB">
        <w:rPr>
          <w:lang w:val="en-US" w:eastAsia="zh-CN"/>
        </w:rPr>
        <w:t xml:space="preserve">shown in </w:t>
      </w:r>
      <w:r w:rsidR="007358EB" w:rsidRPr="007358EB">
        <w:rPr>
          <w:lang w:val="en-US" w:eastAsia="zh-CN"/>
        </w:rPr>
        <w:fldChar w:fldCharType="begin"/>
      </w:r>
      <w:r w:rsidR="007358EB" w:rsidRPr="007358EB">
        <w:rPr>
          <w:lang w:val="en-US" w:eastAsia="zh-CN"/>
        </w:rPr>
        <w:instrText xml:space="preserve"> REF _Ref183210 \h  \* MERGEFORMAT </w:instrText>
      </w:r>
      <w:r w:rsidR="007358EB" w:rsidRPr="007358EB">
        <w:rPr>
          <w:lang w:val="en-US" w:eastAsia="zh-CN"/>
        </w:rPr>
      </w:r>
      <w:r w:rsidR="007358EB" w:rsidRPr="007358EB">
        <w:rPr>
          <w:lang w:val="en-US" w:eastAsia="zh-CN"/>
        </w:rPr>
        <w:fldChar w:fldCharType="separate"/>
      </w:r>
      <w:r w:rsidR="007358EB" w:rsidRPr="007358EB">
        <w:t xml:space="preserve">Figure </w:t>
      </w:r>
      <w:r w:rsidR="007358EB" w:rsidRPr="007358EB">
        <w:rPr>
          <w:noProof/>
        </w:rPr>
        <w:t>1</w:t>
      </w:r>
      <w:r w:rsidR="007358EB" w:rsidRPr="007358EB">
        <w:rPr>
          <w:lang w:val="en-US" w:eastAsia="zh-CN"/>
        </w:rPr>
        <w:fldChar w:fldCharType="end"/>
      </w:r>
      <w:r w:rsidR="00D55550">
        <w:rPr>
          <w:lang w:val="en-US" w:eastAsia="zh-CN"/>
        </w:rPr>
        <w:t xml:space="preserve">, for example, </w:t>
      </w:r>
      <w:r w:rsidR="0079295D">
        <w:rPr>
          <w:lang w:val="en-US" w:eastAsia="zh-CN"/>
        </w:rPr>
        <w:t xml:space="preserve">whenever UE switches Rx beam at the symbol of late carrier (i.e., CC#1) or at the symbol of early carrier (i.e., CC#2), UE should be allowed to cause interruptions to the data </w:t>
      </w:r>
      <w:r>
        <w:rPr>
          <w:lang w:val="en-US" w:eastAsia="zh-CN"/>
        </w:rPr>
        <w:t>reception</w:t>
      </w:r>
      <w:r w:rsidR="0079295D">
        <w:rPr>
          <w:lang w:val="en-US" w:eastAsia="zh-CN"/>
        </w:rPr>
        <w:t>.</w:t>
      </w:r>
    </w:p>
    <w:p w:rsidR="008C789E" w:rsidRPr="00D9761B" w:rsidRDefault="008C789E" w:rsidP="008C789E">
      <w:pPr>
        <w:jc w:val="center"/>
        <w:rPr>
          <w:lang w:eastAsia="zh-CN"/>
        </w:rPr>
      </w:pPr>
      <w:r w:rsidRPr="008C789E">
        <w:rPr>
          <w:noProof/>
          <w:lang w:val="en-US" w:eastAsia="zh-CN"/>
        </w:rPr>
        <w:lastRenderedPageBreak/>
        <w:drawing>
          <wp:inline distT="0" distB="0" distL="0" distR="0" wp14:anchorId="39988D10" wp14:editId="3D7980E5">
            <wp:extent cx="4951487" cy="4585741"/>
            <wp:effectExtent l="0" t="0" r="1905" b="5715"/>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8">
                      <a:extLst>
                        <a:ext uri="{28A0092B-C50C-407E-A947-70E740481C1C}">
                          <a14:useLocalDpi xmlns:a14="http://schemas.microsoft.com/office/drawing/2010/main" val="0"/>
                        </a:ext>
                      </a:extLst>
                    </a:blip>
                    <a:stretch>
                      <a:fillRect/>
                    </a:stretch>
                  </pic:blipFill>
                  <pic:spPr>
                    <a:xfrm>
                      <a:off x="0" y="0"/>
                      <a:ext cx="4951487" cy="4585741"/>
                    </a:xfrm>
                    <a:prstGeom prst="rect">
                      <a:avLst/>
                    </a:prstGeom>
                  </pic:spPr>
                </pic:pic>
              </a:graphicData>
            </a:graphic>
          </wp:inline>
        </w:drawing>
      </w:r>
    </w:p>
    <w:p w:rsidR="00D9761B" w:rsidRPr="007358EB" w:rsidRDefault="007358EB" w:rsidP="007358EB">
      <w:pPr>
        <w:pStyle w:val="Caption"/>
        <w:jc w:val="center"/>
        <w:rPr>
          <w:b w:val="0"/>
          <w:lang w:eastAsia="zh-CN"/>
        </w:rPr>
      </w:pPr>
      <w:bookmarkStart w:id="3" w:name="_Ref183210"/>
      <w:r w:rsidRPr="007358EB">
        <w:rPr>
          <w:b w:val="0"/>
        </w:rPr>
        <w:t xml:space="preserve">Figure </w:t>
      </w:r>
      <w:r w:rsidRPr="007358EB">
        <w:rPr>
          <w:b w:val="0"/>
        </w:rPr>
        <w:fldChar w:fldCharType="begin"/>
      </w:r>
      <w:r w:rsidRPr="007358EB">
        <w:rPr>
          <w:b w:val="0"/>
        </w:rPr>
        <w:instrText xml:space="preserve"> SEQ Figure \* ARABIC </w:instrText>
      </w:r>
      <w:r w:rsidRPr="007358EB">
        <w:rPr>
          <w:b w:val="0"/>
        </w:rPr>
        <w:fldChar w:fldCharType="separate"/>
      </w:r>
      <w:r w:rsidRPr="007358EB">
        <w:rPr>
          <w:b w:val="0"/>
          <w:noProof/>
        </w:rPr>
        <w:t>1</w:t>
      </w:r>
      <w:r w:rsidRPr="007358EB">
        <w:rPr>
          <w:b w:val="0"/>
        </w:rPr>
        <w:fldChar w:fldCharType="end"/>
      </w:r>
      <w:bookmarkEnd w:id="3"/>
      <w:r w:rsidRPr="007358EB">
        <w:rPr>
          <w:b w:val="0"/>
        </w:rPr>
        <w:t>: Rx</w:t>
      </w:r>
      <w:r>
        <w:rPr>
          <w:b w:val="0"/>
        </w:rPr>
        <w:t xml:space="preserve"> beam switch for</w:t>
      </w:r>
      <w:r w:rsidRPr="007358EB">
        <w:rPr>
          <w:b w:val="0"/>
        </w:rPr>
        <w:t xml:space="preserve"> intra-band non-contiguous CA</w:t>
      </w:r>
    </w:p>
    <w:p w:rsidR="004A53E3" w:rsidRDefault="004A53E3" w:rsidP="00302EB9">
      <w:pPr>
        <w:spacing w:after="120"/>
        <w:rPr>
          <w:lang w:eastAsia="zh-CN"/>
        </w:rPr>
      </w:pPr>
      <w:r>
        <w:rPr>
          <w:lang w:eastAsia="zh-CN"/>
        </w:rPr>
        <w:t xml:space="preserve">In WF [1], two possible solutions are provided to address this issue: </w:t>
      </w:r>
    </w:p>
    <w:p w:rsidR="001D7CC1" w:rsidRPr="00841BFD" w:rsidRDefault="00DA79A9" w:rsidP="00302EB9">
      <w:pPr>
        <w:numPr>
          <w:ilvl w:val="0"/>
          <w:numId w:val="32"/>
        </w:numPr>
        <w:spacing w:after="120"/>
        <w:rPr>
          <w:highlight w:val="yellow"/>
          <w:lang w:val="en-US" w:eastAsia="zh-CN"/>
        </w:rPr>
      </w:pPr>
      <w:r w:rsidRPr="00841BFD">
        <w:rPr>
          <w:highlight w:val="yellow"/>
          <w:lang w:val="en-US" w:eastAsia="zh-CN"/>
        </w:rPr>
        <w:t>Option</w:t>
      </w:r>
      <w:r w:rsidR="004A53E3" w:rsidRPr="00841BFD">
        <w:rPr>
          <w:highlight w:val="yellow"/>
          <w:lang w:val="en-US" w:eastAsia="zh-CN"/>
        </w:rPr>
        <w:t xml:space="preserve"> </w:t>
      </w:r>
      <w:r w:rsidRPr="00841BFD">
        <w:rPr>
          <w:highlight w:val="yellow"/>
          <w:lang w:val="en-US" w:eastAsia="zh-CN"/>
        </w:rPr>
        <w:t xml:space="preserve">1: Reduce MRTD requirement from 3 </w:t>
      </w:r>
      <w:r w:rsidR="0097246A" w:rsidRPr="00841BFD">
        <w:rPr>
          <w:highlight w:val="yellow"/>
          <w:lang w:eastAsia="zh-CN"/>
        </w:rPr>
        <w:t>µs</w:t>
      </w:r>
      <w:r w:rsidRPr="00841BFD">
        <w:rPr>
          <w:highlight w:val="yellow"/>
          <w:lang w:val="en-US" w:eastAsia="zh-CN"/>
        </w:rPr>
        <w:t xml:space="preserve"> to X ns</w:t>
      </w:r>
    </w:p>
    <w:p w:rsidR="001D7CC1" w:rsidRPr="00841BFD" w:rsidRDefault="00DA79A9" w:rsidP="00302EB9">
      <w:pPr>
        <w:numPr>
          <w:ilvl w:val="0"/>
          <w:numId w:val="32"/>
        </w:numPr>
        <w:spacing w:after="120"/>
        <w:rPr>
          <w:highlight w:val="yellow"/>
          <w:lang w:val="en-US" w:eastAsia="zh-CN"/>
        </w:rPr>
      </w:pPr>
      <w:r w:rsidRPr="00841BFD">
        <w:rPr>
          <w:highlight w:val="yellow"/>
          <w:lang w:val="en-US" w:eastAsia="zh-CN"/>
        </w:rPr>
        <w:t>Option</w:t>
      </w:r>
      <w:r w:rsidR="004A53E3" w:rsidRPr="00841BFD">
        <w:rPr>
          <w:highlight w:val="yellow"/>
          <w:lang w:val="en-US" w:eastAsia="zh-CN"/>
        </w:rPr>
        <w:t xml:space="preserve"> </w:t>
      </w:r>
      <w:r w:rsidRPr="00841BFD">
        <w:rPr>
          <w:highlight w:val="yellow"/>
          <w:lang w:val="en-US" w:eastAsia="zh-CN"/>
        </w:rPr>
        <w:t xml:space="preserve">2: Add additional scheduling restriction when TCI-state changes, </w:t>
      </w:r>
    </w:p>
    <w:p w:rsidR="001D7CC1" w:rsidRPr="00841BFD" w:rsidRDefault="00DA79A9" w:rsidP="00302EB9">
      <w:pPr>
        <w:numPr>
          <w:ilvl w:val="1"/>
          <w:numId w:val="33"/>
        </w:numPr>
        <w:spacing w:after="120"/>
        <w:rPr>
          <w:highlight w:val="yellow"/>
          <w:lang w:val="en-US" w:eastAsia="zh-CN"/>
        </w:rPr>
      </w:pPr>
      <w:r w:rsidRPr="00841BFD">
        <w:rPr>
          <w:highlight w:val="yellow"/>
          <w:lang w:val="en-US" w:eastAsia="zh-CN"/>
        </w:rPr>
        <w:t>UE can skip one symbol/slot immediately when UE is changing Rx beam</w:t>
      </w:r>
    </w:p>
    <w:p w:rsidR="001D7CC1" w:rsidRPr="00841BFD" w:rsidRDefault="00DA79A9" w:rsidP="00302EB9">
      <w:pPr>
        <w:numPr>
          <w:ilvl w:val="1"/>
          <w:numId w:val="33"/>
        </w:numPr>
        <w:spacing w:after="120"/>
        <w:rPr>
          <w:highlight w:val="yellow"/>
          <w:lang w:val="en-US" w:eastAsia="zh-CN"/>
        </w:rPr>
      </w:pPr>
      <w:r w:rsidRPr="00841BFD">
        <w:rPr>
          <w:highlight w:val="yellow"/>
          <w:lang w:val="en-US" w:eastAsia="zh-CN"/>
        </w:rPr>
        <w:t xml:space="preserve">It is FFS the time location where UE switches Rx beam </w:t>
      </w:r>
    </w:p>
    <w:p w:rsidR="004A53E3" w:rsidRPr="004A53E3" w:rsidRDefault="004A53E3" w:rsidP="006E673E">
      <w:pPr>
        <w:spacing w:after="120"/>
        <w:rPr>
          <w:lang w:val="en-US" w:eastAsia="zh-CN"/>
        </w:rPr>
      </w:pPr>
      <w:r>
        <w:rPr>
          <w:lang w:val="en-US" w:eastAsia="zh-CN"/>
        </w:rPr>
        <w:t>We would like to argue that Option 2 is not feasible. The reason is that it is impossible for gNB to know the position of interruption, since at which symbol/slot UE switch Rx beam totally depends on UE implementation</w:t>
      </w:r>
      <w:r w:rsidR="0097246A">
        <w:rPr>
          <w:lang w:val="en-US" w:eastAsia="zh-CN"/>
        </w:rPr>
        <w:t xml:space="preserve">. There is no prior information accessible to gNB, thus </w:t>
      </w:r>
      <w:r w:rsidR="00D27086">
        <w:rPr>
          <w:lang w:val="en-US" w:eastAsia="zh-CN"/>
        </w:rPr>
        <w:t xml:space="preserve">it is difficult to clearly define </w:t>
      </w:r>
      <w:r w:rsidR="005429DC">
        <w:rPr>
          <w:lang w:val="en-US" w:eastAsia="zh-CN"/>
        </w:rPr>
        <w:t>the scheduling restriction</w:t>
      </w:r>
      <w:r w:rsidR="0097246A">
        <w:rPr>
          <w:lang w:val="en-US" w:eastAsia="zh-CN"/>
        </w:rPr>
        <w:t xml:space="preserve"> requirement in this case. </w:t>
      </w:r>
    </w:p>
    <w:p w:rsidR="00F35FE1" w:rsidRDefault="0097246A" w:rsidP="00F35FE1">
      <w:pPr>
        <w:spacing w:after="120"/>
        <w:rPr>
          <w:lang w:eastAsia="zh-CN"/>
        </w:rPr>
      </w:pPr>
      <w:r>
        <w:rPr>
          <w:lang w:eastAsia="zh-CN"/>
        </w:rPr>
        <w:t>Option 1</w:t>
      </w:r>
      <w:r w:rsidR="001B3EE1">
        <w:rPr>
          <w:lang w:eastAsia="zh-CN"/>
        </w:rPr>
        <w:t>, which reduces MRTD requirement for this case,</w:t>
      </w:r>
      <w:r>
        <w:rPr>
          <w:lang w:eastAsia="zh-CN"/>
        </w:rPr>
        <w:t xml:space="preserve"> is desirable choice to address </w:t>
      </w:r>
      <w:r w:rsidR="001B3EE1">
        <w:rPr>
          <w:lang w:eastAsia="zh-CN"/>
        </w:rPr>
        <w:t>the</w:t>
      </w:r>
      <w:r>
        <w:rPr>
          <w:lang w:eastAsia="zh-CN"/>
        </w:rPr>
        <w:t xml:space="preserve"> problem. The </w:t>
      </w:r>
      <w:r w:rsidR="009E4890">
        <w:rPr>
          <w:lang w:eastAsia="zh-CN"/>
        </w:rPr>
        <w:t>reasons</w:t>
      </w:r>
      <w:r>
        <w:rPr>
          <w:lang w:eastAsia="zh-CN"/>
        </w:rPr>
        <w:t xml:space="preserve"> are two-folds: </w:t>
      </w:r>
    </w:p>
    <w:p w:rsidR="00F35FE1" w:rsidRDefault="00715DCD" w:rsidP="00F35FE1">
      <w:pPr>
        <w:spacing w:after="120"/>
        <w:rPr>
          <w:lang w:eastAsia="zh-CN"/>
        </w:rPr>
      </w:pPr>
      <w:r>
        <w:rPr>
          <w:lang w:eastAsia="zh-CN"/>
        </w:rPr>
        <w:t xml:space="preserve">1) </w:t>
      </w:r>
      <w:r w:rsidR="00F35FE1">
        <w:rPr>
          <w:lang w:eastAsia="zh-CN"/>
        </w:rPr>
        <w:t xml:space="preserve">First, </w:t>
      </w:r>
      <w:r w:rsidR="001C0CDA">
        <w:rPr>
          <w:lang w:eastAsia="zh-CN"/>
        </w:rPr>
        <w:t xml:space="preserve">it is difficult for UE to support </w:t>
      </w:r>
      <w:r w:rsidR="001C0CDA" w:rsidRPr="004A53E3">
        <w:rPr>
          <w:lang w:val="en-US" w:eastAsia="zh-CN"/>
        </w:rPr>
        <w:t xml:space="preserve">3 </w:t>
      </w:r>
      <w:r w:rsidR="001C0CDA">
        <w:rPr>
          <w:lang w:eastAsia="zh-CN"/>
        </w:rPr>
        <w:t xml:space="preserve">µs MRTD for intra-band non-contiguous </w:t>
      </w:r>
      <w:r w:rsidR="001C0CDA" w:rsidRPr="00D724BA">
        <w:rPr>
          <w:lang w:eastAsia="zh-CN"/>
        </w:rPr>
        <w:t>CA</w:t>
      </w:r>
      <w:r w:rsidR="009E3964">
        <w:rPr>
          <w:lang w:eastAsia="zh-CN"/>
        </w:rPr>
        <w:t>. In particular, for 120</w:t>
      </w:r>
      <w:r w:rsidR="001C0CDA">
        <w:rPr>
          <w:lang w:eastAsia="zh-CN"/>
        </w:rPr>
        <w:t xml:space="preserve"> kHz SCS, with </w:t>
      </w:r>
      <w:r w:rsidR="001C0CDA" w:rsidRPr="004A53E3">
        <w:rPr>
          <w:lang w:val="en-US" w:eastAsia="zh-CN"/>
        </w:rPr>
        <w:t xml:space="preserve">3 </w:t>
      </w:r>
      <w:r w:rsidR="001C0CDA">
        <w:rPr>
          <w:lang w:eastAsia="zh-CN"/>
        </w:rPr>
        <w:t xml:space="preserve">µs received timing difference between two CCs, the timing overlap is almost </w:t>
      </w:r>
      <w:r w:rsidR="009E3964">
        <w:rPr>
          <w:lang w:eastAsia="zh-CN"/>
        </w:rPr>
        <w:t>half</w:t>
      </w:r>
      <w:r w:rsidR="001C0CDA">
        <w:rPr>
          <w:lang w:eastAsia="zh-CN"/>
        </w:rPr>
        <w:t xml:space="preserve"> symbol. This will apply to all the UEs in the network, which is different from LTE intra-band non-contiguous </w:t>
      </w:r>
      <w:r w:rsidR="001C0CDA" w:rsidRPr="00D724BA">
        <w:rPr>
          <w:lang w:eastAsia="zh-CN"/>
        </w:rPr>
        <w:t>CA</w:t>
      </w:r>
      <w:r w:rsidR="001C0CDA">
        <w:rPr>
          <w:lang w:eastAsia="zh-CN"/>
        </w:rPr>
        <w:t xml:space="preserve"> where only the UE at cell edge will see the timing overlap between two CCs is about half symbol. </w:t>
      </w:r>
      <w:r w:rsidR="00841BFD">
        <w:rPr>
          <w:lang w:eastAsia="zh-CN"/>
        </w:rPr>
        <w:t>Thus it is reasonable to</w:t>
      </w:r>
      <w:r w:rsidR="007D5A11">
        <w:rPr>
          <w:lang w:eastAsia="zh-CN"/>
        </w:rPr>
        <w:t xml:space="preserve"> </w:t>
      </w:r>
      <w:r w:rsidR="00304665">
        <w:rPr>
          <w:lang w:eastAsia="zh-CN"/>
        </w:rPr>
        <w:t>reduce</w:t>
      </w:r>
      <w:r w:rsidR="007D5A11">
        <w:rPr>
          <w:lang w:eastAsia="zh-CN"/>
        </w:rPr>
        <w:t xml:space="preserve"> the</w:t>
      </w:r>
      <w:r w:rsidR="00304665">
        <w:rPr>
          <w:lang w:eastAsia="zh-CN"/>
        </w:rPr>
        <w:t xml:space="preserve"> existing</w:t>
      </w:r>
      <w:r w:rsidR="007D5A11">
        <w:rPr>
          <w:lang w:eastAsia="zh-CN"/>
        </w:rPr>
        <w:t xml:space="preserve"> MRTD</w:t>
      </w:r>
      <w:r w:rsidR="00304665">
        <w:rPr>
          <w:lang w:eastAsia="zh-CN"/>
        </w:rPr>
        <w:t xml:space="preserve"> requirement from</w:t>
      </w:r>
      <w:r w:rsidR="007D5A11">
        <w:rPr>
          <w:lang w:eastAsia="zh-CN"/>
        </w:rPr>
        <w:t xml:space="preserve"> </w:t>
      </w:r>
      <w:r w:rsidR="00304665" w:rsidRPr="004A53E3">
        <w:rPr>
          <w:lang w:val="en-US" w:eastAsia="zh-CN"/>
        </w:rPr>
        <w:t xml:space="preserve">3 </w:t>
      </w:r>
      <w:r w:rsidR="00304665">
        <w:rPr>
          <w:lang w:eastAsia="zh-CN"/>
        </w:rPr>
        <w:t>µs</w:t>
      </w:r>
      <w:r w:rsidR="00304665" w:rsidRPr="004A53E3">
        <w:rPr>
          <w:lang w:val="en-US" w:eastAsia="zh-CN"/>
        </w:rPr>
        <w:t xml:space="preserve"> </w:t>
      </w:r>
      <w:r w:rsidR="00304665">
        <w:rPr>
          <w:lang w:val="en-US" w:eastAsia="zh-CN"/>
        </w:rPr>
        <w:t xml:space="preserve">to some value that is </w:t>
      </w:r>
      <w:r w:rsidR="007D5A11">
        <w:rPr>
          <w:lang w:eastAsia="zh-CN"/>
        </w:rPr>
        <w:t xml:space="preserve">smaller than </w:t>
      </w:r>
      <w:r w:rsidR="001C0CDA">
        <w:rPr>
          <w:lang w:eastAsia="zh-CN"/>
        </w:rPr>
        <w:t>CP length</w:t>
      </w:r>
      <w:r w:rsidR="009E3964">
        <w:rPr>
          <w:lang w:eastAsia="zh-CN"/>
        </w:rPr>
        <w:t xml:space="preserve"> (0.58 µs for 120</w:t>
      </w:r>
      <w:r w:rsidR="00904A0E">
        <w:rPr>
          <w:lang w:eastAsia="zh-CN"/>
        </w:rPr>
        <w:t xml:space="preserve"> kHz SCS)</w:t>
      </w:r>
      <w:r w:rsidR="005C19C4">
        <w:rPr>
          <w:lang w:eastAsia="zh-CN"/>
        </w:rPr>
        <w:t>.</w:t>
      </w:r>
      <w:r>
        <w:rPr>
          <w:lang w:eastAsia="zh-CN"/>
        </w:rPr>
        <w:t xml:space="preserve"> </w:t>
      </w:r>
      <w:r w:rsidR="005C19C4">
        <w:rPr>
          <w:lang w:eastAsia="zh-CN"/>
        </w:rPr>
        <w:t>It is also questionable why TAE for gNB is worse than eNB.</w:t>
      </w:r>
    </w:p>
    <w:p w:rsidR="00E70A04" w:rsidRDefault="00715DCD" w:rsidP="00F35FE1">
      <w:pPr>
        <w:spacing w:after="120"/>
        <w:rPr>
          <w:lang w:eastAsia="zh-CN"/>
        </w:rPr>
      </w:pPr>
      <w:r>
        <w:rPr>
          <w:lang w:eastAsia="zh-CN"/>
        </w:rPr>
        <w:t>2)</w:t>
      </w:r>
      <w:r w:rsidR="00D27086">
        <w:rPr>
          <w:lang w:eastAsia="zh-CN"/>
        </w:rPr>
        <w:t xml:space="preserve"> </w:t>
      </w:r>
      <w:r w:rsidR="00304665">
        <w:rPr>
          <w:lang w:eastAsia="zh-CN"/>
        </w:rPr>
        <w:t>In</w:t>
      </w:r>
      <w:r w:rsidR="00304665" w:rsidRPr="00304665">
        <w:rPr>
          <w:lang w:eastAsia="zh-CN"/>
        </w:rPr>
        <w:t xml:space="preserve"> FR2, it is assumed all CC</w:t>
      </w:r>
      <w:r w:rsidR="00304665">
        <w:rPr>
          <w:lang w:eastAsia="zh-CN"/>
        </w:rPr>
        <w:t>s</w:t>
      </w:r>
      <w:r w:rsidR="00304665" w:rsidRPr="00304665">
        <w:rPr>
          <w:lang w:eastAsia="zh-CN"/>
        </w:rPr>
        <w:t xml:space="preserve"> in the same band should have the same spatial transmission domain filter. That means only co-located gNB is supported for NR FR2 </w:t>
      </w:r>
      <w:r w:rsidR="00304665">
        <w:rPr>
          <w:lang w:eastAsia="zh-CN"/>
        </w:rPr>
        <w:t xml:space="preserve">non-contiguous </w:t>
      </w:r>
      <w:r w:rsidR="00304665" w:rsidRPr="00304665">
        <w:rPr>
          <w:lang w:eastAsia="zh-CN"/>
        </w:rPr>
        <w:t xml:space="preserve">CA. </w:t>
      </w:r>
      <w:r w:rsidR="00304665">
        <w:rPr>
          <w:lang w:eastAsia="zh-CN"/>
        </w:rPr>
        <w:t>Under such a case</w:t>
      </w:r>
      <w:r w:rsidR="00304665" w:rsidRPr="00304665">
        <w:rPr>
          <w:lang w:eastAsia="zh-CN"/>
        </w:rPr>
        <w:t>,</w:t>
      </w:r>
      <w:r w:rsidR="00E44659">
        <w:rPr>
          <w:lang w:eastAsia="zh-CN"/>
        </w:rPr>
        <w:t xml:space="preserve"> receiving timing difference between two CCs is due to TAE at gNB side.</w:t>
      </w:r>
      <w:r w:rsidR="00304665" w:rsidRPr="00304665">
        <w:rPr>
          <w:lang w:eastAsia="zh-CN"/>
        </w:rPr>
        <w:t xml:space="preserve"> </w:t>
      </w:r>
      <w:r w:rsidR="00302EB9" w:rsidRPr="00DC6855">
        <w:rPr>
          <w:lang w:val="en-US" w:eastAsia="zh-CN"/>
        </w:rPr>
        <w:t>In LTE (</w:t>
      </w:r>
      <w:r w:rsidR="00633C98">
        <w:rPr>
          <w:lang w:val="en-US" w:eastAsia="zh-CN"/>
        </w:rPr>
        <w:t>TS</w:t>
      </w:r>
      <w:r w:rsidR="00302EB9" w:rsidRPr="00DC6855">
        <w:rPr>
          <w:lang w:val="en-US" w:eastAsia="zh-CN"/>
        </w:rPr>
        <w:t>36.104), t</w:t>
      </w:r>
      <w:r w:rsidR="00D27086" w:rsidRPr="00DC6855">
        <w:rPr>
          <w:lang w:val="en-US" w:eastAsia="zh-CN"/>
        </w:rPr>
        <w:t xml:space="preserve">he TAE for </w:t>
      </w:r>
      <w:r w:rsidR="00302EB9" w:rsidRPr="00404F3A">
        <w:t xml:space="preserve">intra-band non-contiguous </w:t>
      </w:r>
      <w:r w:rsidR="00302EB9" w:rsidRPr="00DC6855">
        <w:rPr>
          <w:lang w:val="en-US"/>
        </w:rPr>
        <w:t xml:space="preserve">CA is </w:t>
      </w:r>
      <w:r w:rsidR="00302EB9" w:rsidRPr="00404F3A">
        <w:t>260 ns</w:t>
      </w:r>
      <w:r w:rsidR="00302EB9" w:rsidRPr="00DC6855">
        <w:rPr>
          <w:lang w:val="en-US"/>
        </w:rPr>
        <w:t>, but for NR (</w:t>
      </w:r>
      <w:r w:rsidR="00633C98">
        <w:rPr>
          <w:lang w:val="en-US"/>
        </w:rPr>
        <w:t>TS</w:t>
      </w:r>
      <w:r w:rsidR="00302EB9" w:rsidRPr="00DC6855">
        <w:rPr>
          <w:lang w:val="en-US"/>
        </w:rPr>
        <w:t xml:space="preserve">38.104), </w:t>
      </w:r>
      <w:r w:rsidR="00302EB9" w:rsidRPr="00DC6855">
        <w:rPr>
          <w:lang w:val="en-US" w:eastAsia="zh-CN"/>
        </w:rPr>
        <w:t xml:space="preserve">the TAE for </w:t>
      </w:r>
      <w:r w:rsidR="00302EB9" w:rsidRPr="00404F3A">
        <w:t xml:space="preserve">intra-band non-contiguous </w:t>
      </w:r>
      <w:r w:rsidR="00302EB9" w:rsidRPr="00DC6855">
        <w:rPr>
          <w:lang w:val="en-US"/>
        </w:rPr>
        <w:t>CA</w:t>
      </w:r>
      <w:r w:rsidR="00E44659">
        <w:rPr>
          <w:lang w:val="en-US"/>
        </w:rPr>
        <w:t xml:space="preserve"> becomes</w:t>
      </w:r>
      <w:r w:rsidR="00302EB9" w:rsidRPr="00DC6855">
        <w:rPr>
          <w:lang w:val="en-US"/>
        </w:rPr>
        <w:t xml:space="preserve"> </w:t>
      </w:r>
      <w:r w:rsidR="00302EB9">
        <w:rPr>
          <w:lang w:eastAsia="zh-CN"/>
        </w:rPr>
        <w:t>3µs</w:t>
      </w:r>
      <w:r w:rsidR="00302EB9" w:rsidRPr="00DC6855">
        <w:rPr>
          <w:lang w:val="en-US" w:eastAsia="zh-CN"/>
        </w:rPr>
        <w:t xml:space="preserve">. </w:t>
      </w:r>
      <w:r w:rsidR="00841BFD">
        <w:rPr>
          <w:lang w:val="en-US" w:eastAsia="zh-CN"/>
        </w:rPr>
        <w:t xml:space="preserve">We would like to ask </w:t>
      </w:r>
      <w:r w:rsidR="00841BFD">
        <w:t>why gNB TAE requirement is more relax than eNB</w:t>
      </w:r>
      <w:r w:rsidR="00841BFD">
        <w:rPr>
          <w:lang w:val="en-US" w:eastAsia="zh-CN"/>
        </w:rPr>
        <w:t>?</w:t>
      </w:r>
      <w:r w:rsidR="00302EB9" w:rsidRPr="00DC6855">
        <w:rPr>
          <w:lang w:val="en-US" w:eastAsia="zh-CN"/>
        </w:rPr>
        <w:t xml:space="preserve"> </w:t>
      </w:r>
      <w:r w:rsidR="00841BFD">
        <w:rPr>
          <w:lang w:val="en-US" w:eastAsia="zh-CN"/>
        </w:rPr>
        <w:t>Since only co-located case is supported for intra-band NR CA</w:t>
      </w:r>
      <w:r w:rsidR="007D5A11">
        <w:rPr>
          <w:lang w:val="en-US" w:eastAsia="zh-CN"/>
        </w:rPr>
        <w:t xml:space="preserve">, </w:t>
      </w:r>
      <w:r w:rsidR="00C3546E">
        <w:rPr>
          <w:lang w:val="en-US" w:eastAsia="zh-CN"/>
        </w:rPr>
        <w:t xml:space="preserve">one would expect smaller </w:t>
      </w:r>
      <w:r w:rsidR="007D5A11">
        <w:rPr>
          <w:lang w:val="en-US" w:eastAsia="zh-CN"/>
        </w:rPr>
        <w:t xml:space="preserve">TAE </w:t>
      </w:r>
      <w:r w:rsidR="00C3546E">
        <w:rPr>
          <w:lang w:val="en-US" w:eastAsia="zh-CN"/>
        </w:rPr>
        <w:t xml:space="preserve">as compared to </w:t>
      </w:r>
      <w:r w:rsidR="00841BFD">
        <w:rPr>
          <w:lang w:val="en-US" w:eastAsia="zh-CN"/>
        </w:rPr>
        <w:t>intra-band LTE CA</w:t>
      </w:r>
      <w:r w:rsidR="00C3546E">
        <w:rPr>
          <w:lang w:val="en-US" w:eastAsia="zh-CN"/>
        </w:rPr>
        <w:t xml:space="preserve"> where both non-col-located</w:t>
      </w:r>
      <w:r w:rsidR="009D281D">
        <w:rPr>
          <w:lang w:val="en-US" w:eastAsia="zh-CN"/>
        </w:rPr>
        <w:t xml:space="preserve"> gNB</w:t>
      </w:r>
      <w:r w:rsidR="00C3546E">
        <w:rPr>
          <w:lang w:val="en-US" w:eastAsia="zh-CN"/>
        </w:rPr>
        <w:t xml:space="preserve"> and col-located gNB</w:t>
      </w:r>
      <w:r w:rsidR="009D281D">
        <w:rPr>
          <w:lang w:val="en-US" w:eastAsia="zh-CN"/>
        </w:rPr>
        <w:t xml:space="preserve"> are allowed</w:t>
      </w:r>
      <w:r w:rsidR="00C3546E">
        <w:rPr>
          <w:lang w:val="en-US" w:eastAsia="zh-CN"/>
        </w:rPr>
        <w:t xml:space="preserve">. Thus, we propose that TEA </w:t>
      </w:r>
      <w:r w:rsidR="007D5A11">
        <w:rPr>
          <w:lang w:val="en-US" w:eastAsia="zh-CN"/>
        </w:rPr>
        <w:t xml:space="preserve">for </w:t>
      </w:r>
      <w:r w:rsidR="007D5A11" w:rsidRPr="007D5A11">
        <w:rPr>
          <w:lang w:val="en-US" w:eastAsia="zh-CN"/>
        </w:rPr>
        <w:t xml:space="preserve">intra-band non-contiguous CA </w:t>
      </w:r>
      <w:r w:rsidR="007D5A11">
        <w:rPr>
          <w:lang w:val="en-US" w:eastAsia="zh-CN"/>
        </w:rPr>
        <w:t xml:space="preserve">should not exceed </w:t>
      </w:r>
      <w:r w:rsidR="007D5A11" w:rsidRPr="00404F3A">
        <w:t>260 ns</w:t>
      </w:r>
      <w:r w:rsidR="007D5A11">
        <w:t>.</w:t>
      </w:r>
      <w:r w:rsidR="00B724AF" w:rsidRPr="00DC6855">
        <w:rPr>
          <w:lang w:val="en-US" w:eastAsia="zh-CN"/>
        </w:rPr>
        <w:t xml:space="preserve"> </w:t>
      </w:r>
    </w:p>
    <w:p w:rsidR="00E07CD5" w:rsidRPr="00E70A04" w:rsidRDefault="00E70A04" w:rsidP="006E673E">
      <w:pPr>
        <w:spacing w:after="120"/>
        <w:rPr>
          <w:lang w:val="x-none"/>
        </w:rPr>
      </w:pPr>
      <w:r>
        <w:rPr>
          <w:lang w:eastAsia="zh-CN"/>
        </w:rPr>
        <w:lastRenderedPageBreak/>
        <w:t xml:space="preserve">Thus, it is proposed  </w:t>
      </w:r>
    </w:p>
    <w:p w:rsidR="00EC2C55" w:rsidRPr="00EC2C55" w:rsidRDefault="007D5A11" w:rsidP="00EC2C55">
      <w:pPr>
        <w:jc w:val="both"/>
        <w:rPr>
          <w:b/>
          <w:i/>
        </w:rPr>
      </w:pPr>
      <w:r>
        <w:rPr>
          <w:b/>
          <w:i/>
        </w:rPr>
        <w:t>Proposal 1</w:t>
      </w:r>
      <w:r w:rsidR="00EC2C55" w:rsidRPr="00E72043">
        <w:rPr>
          <w:b/>
          <w:i/>
        </w:rPr>
        <w:t>:</w:t>
      </w:r>
      <w:r w:rsidR="00E70A04">
        <w:rPr>
          <w:b/>
          <w:i/>
        </w:rPr>
        <w:t xml:space="preserve"> </w:t>
      </w:r>
      <w:r w:rsidR="00DC6855" w:rsidRPr="00DC6855">
        <w:rPr>
          <w:b/>
          <w:i/>
        </w:rPr>
        <w:t xml:space="preserve">For intra-band non-contiguous </w:t>
      </w:r>
      <w:r w:rsidR="002018D3">
        <w:rPr>
          <w:b/>
          <w:i/>
        </w:rPr>
        <w:t>CA</w:t>
      </w:r>
      <w:r w:rsidR="00BD5AD7">
        <w:rPr>
          <w:b/>
          <w:i/>
        </w:rPr>
        <w:t xml:space="preserve"> in FR2</w:t>
      </w:r>
      <w:r w:rsidR="00DC6855" w:rsidRPr="00DC6855">
        <w:rPr>
          <w:b/>
          <w:i/>
        </w:rPr>
        <w:t>, TAE shall not exceed 260ns</w:t>
      </w:r>
      <w:r w:rsidR="00EC2C55" w:rsidRPr="00EC2C55">
        <w:rPr>
          <w:b/>
          <w:i/>
        </w:rPr>
        <w:t>.</w:t>
      </w:r>
    </w:p>
    <w:p w:rsidR="00144477" w:rsidRPr="00841BFD" w:rsidRDefault="007D5A11" w:rsidP="00EC2C55">
      <w:pPr>
        <w:jc w:val="both"/>
        <w:rPr>
          <w:b/>
          <w:i/>
        </w:rPr>
      </w:pPr>
      <w:r>
        <w:rPr>
          <w:b/>
          <w:i/>
        </w:rPr>
        <w:t>Proposal 2</w:t>
      </w:r>
      <w:r w:rsidR="00EC2C55">
        <w:rPr>
          <w:b/>
          <w:i/>
        </w:rPr>
        <w:t>:</w:t>
      </w:r>
      <w:r w:rsidR="00EC2C55" w:rsidRPr="00EC2C55">
        <w:rPr>
          <w:b/>
          <w:i/>
        </w:rPr>
        <w:t xml:space="preserve"> MRTD</w:t>
      </w:r>
      <w:r w:rsidR="00E07CD5">
        <w:rPr>
          <w:b/>
          <w:i/>
        </w:rPr>
        <w:t xml:space="preserve"> </w:t>
      </w:r>
      <w:r w:rsidR="006A6E83">
        <w:rPr>
          <w:b/>
          <w:i/>
        </w:rPr>
        <w:t xml:space="preserve">requirement </w:t>
      </w:r>
      <w:r w:rsidR="00E70A04">
        <w:rPr>
          <w:b/>
          <w:i/>
        </w:rPr>
        <w:t>for i</w:t>
      </w:r>
      <w:r w:rsidR="00E70A04" w:rsidRPr="00EC2C55">
        <w:rPr>
          <w:b/>
          <w:i/>
        </w:rPr>
        <w:t xml:space="preserve">ntra-band non-contiguous </w:t>
      </w:r>
      <w:r w:rsidR="006A6E83">
        <w:rPr>
          <w:b/>
          <w:i/>
        </w:rPr>
        <w:t>CA</w:t>
      </w:r>
      <w:r w:rsidR="00BD5AD7">
        <w:rPr>
          <w:b/>
          <w:i/>
        </w:rPr>
        <w:t xml:space="preserve"> in FR2</w:t>
      </w:r>
      <w:r w:rsidR="00192258">
        <w:rPr>
          <w:b/>
          <w:i/>
        </w:rPr>
        <w:t xml:space="preserve"> is </w:t>
      </w:r>
      <w:r w:rsidR="00192258" w:rsidRPr="00DC6855">
        <w:rPr>
          <w:b/>
          <w:i/>
        </w:rPr>
        <w:t>260ns</w:t>
      </w:r>
      <w:r w:rsidR="00EC2C55" w:rsidRPr="00EC2C55">
        <w:rPr>
          <w:b/>
          <w:i/>
        </w:rPr>
        <w:t>.</w:t>
      </w:r>
    </w:p>
    <w:p w:rsidR="00144477" w:rsidRPr="00144477" w:rsidRDefault="00144477" w:rsidP="00EC2C55">
      <w:pPr>
        <w:jc w:val="both"/>
      </w:pPr>
      <w:r>
        <w:t xml:space="preserve">Furthermore, we </w:t>
      </w:r>
      <w:r w:rsidR="00C35E15">
        <w:t>propose changing the TAE and MR</w:t>
      </w:r>
      <w:r>
        <w:t>T</w:t>
      </w:r>
      <w:r w:rsidR="00C35E15">
        <w:t>D</w:t>
      </w:r>
      <w:r>
        <w:t xml:space="preserve"> for intra-band non-contiguous CA in FR1 as well. The reasons are as follows: 1) </w:t>
      </w:r>
      <w:r w:rsidR="00841BFD">
        <w:t>We raise that same question for NR TAE again, w</w:t>
      </w:r>
      <w:r w:rsidR="00C35E15">
        <w:t>hy gNB TAE requirement is more relax than eNB</w:t>
      </w:r>
      <w:r w:rsidR="00841BFD">
        <w:t xml:space="preserve"> in FR1</w:t>
      </w:r>
      <w:r w:rsidR="00C35E15">
        <w:t xml:space="preserve">? </w:t>
      </w:r>
      <w:r>
        <w:t>2) In LTE, only UE at cell edge suffers large MRTD like 30.26us, but in NR, all the UEs in coverage are subjected to 3us MRTD requirement. Since 3us is larger than CP length for 30 kHz and 60 kHz SCS, reception performance</w:t>
      </w:r>
      <w:r w:rsidR="00841BFD">
        <w:t xml:space="preserve"> for all the UEs in coverage</w:t>
      </w:r>
      <w:r>
        <w:t xml:space="preserve"> is expected to degrade. 3) Even for intra-band non-contiguous CA, when SCS for two CCs are the same, UE can implement single FFT for data reception. </w:t>
      </w:r>
      <w:r w:rsidR="00F970FD">
        <w:t>With 3us MRTD, it kills the option for UE to implement single FFT.</w:t>
      </w:r>
    </w:p>
    <w:p w:rsidR="00F970FD" w:rsidRPr="00F970FD" w:rsidRDefault="00F970FD" w:rsidP="00144477">
      <w:pPr>
        <w:jc w:val="both"/>
      </w:pPr>
      <w:r>
        <w:t>Based on the above discussion, we propose:</w:t>
      </w:r>
    </w:p>
    <w:p w:rsidR="00F970FD" w:rsidRPr="00EC2C55" w:rsidRDefault="00F970FD" w:rsidP="00F970FD">
      <w:pPr>
        <w:jc w:val="both"/>
        <w:rPr>
          <w:b/>
          <w:i/>
        </w:rPr>
      </w:pPr>
      <w:r>
        <w:rPr>
          <w:b/>
          <w:i/>
        </w:rPr>
        <w:t>Proposal 3</w:t>
      </w:r>
      <w:r w:rsidRPr="00E72043">
        <w:rPr>
          <w:b/>
          <w:i/>
        </w:rPr>
        <w:t>:</w:t>
      </w:r>
      <w:r>
        <w:rPr>
          <w:b/>
          <w:i/>
        </w:rPr>
        <w:t xml:space="preserve"> </w:t>
      </w:r>
      <w:r w:rsidRPr="00DC6855">
        <w:rPr>
          <w:b/>
          <w:i/>
        </w:rPr>
        <w:t xml:space="preserve">For intra-band non-contiguous </w:t>
      </w:r>
      <w:r>
        <w:rPr>
          <w:b/>
          <w:i/>
        </w:rPr>
        <w:t>CA in FR1</w:t>
      </w:r>
      <w:r w:rsidRPr="00DC6855">
        <w:rPr>
          <w:b/>
          <w:i/>
        </w:rPr>
        <w:t>, TAE shall not exceed 260ns</w:t>
      </w:r>
      <w:r w:rsidRPr="00EC2C55">
        <w:rPr>
          <w:b/>
          <w:i/>
        </w:rPr>
        <w:t>.</w:t>
      </w:r>
    </w:p>
    <w:p w:rsidR="00144477" w:rsidRDefault="00F970FD" w:rsidP="00EC2C55">
      <w:pPr>
        <w:jc w:val="both"/>
        <w:rPr>
          <w:b/>
          <w:i/>
        </w:rPr>
      </w:pPr>
      <w:r>
        <w:rPr>
          <w:b/>
          <w:i/>
        </w:rPr>
        <w:t>Proposal 4:</w:t>
      </w:r>
      <w:r w:rsidRPr="00EC2C55">
        <w:rPr>
          <w:b/>
          <w:i/>
        </w:rPr>
        <w:t xml:space="preserve"> MRTD</w:t>
      </w:r>
      <w:r>
        <w:rPr>
          <w:b/>
          <w:i/>
        </w:rPr>
        <w:t xml:space="preserve"> requirement for i</w:t>
      </w:r>
      <w:r w:rsidRPr="00EC2C55">
        <w:rPr>
          <w:b/>
          <w:i/>
        </w:rPr>
        <w:t xml:space="preserve">ntra-band non-contiguous </w:t>
      </w:r>
      <w:r>
        <w:rPr>
          <w:b/>
          <w:i/>
        </w:rPr>
        <w:t xml:space="preserve">CA in FR1 is </w:t>
      </w:r>
      <w:r w:rsidRPr="00DC6855">
        <w:rPr>
          <w:b/>
          <w:i/>
        </w:rPr>
        <w:t>260ns</w:t>
      </w:r>
      <w:r w:rsidRPr="00EC2C55">
        <w:rPr>
          <w:b/>
          <w:i/>
        </w:rPr>
        <w:t>.</w:t>
      </w: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4329E6" w:rsidP="00A967D7">
      <w:pPr>
        <w:rPr>
          <w:rFonts w:eastAsia="SimSun"/>
          <w:lang w:eastAsia="zh-CN"/>
        </w:rPr>
      </w:pPr>
      <w:r>
        <w:rPr>
          <w:rFonts w:eastAsia="SimSun"/>
          <w:lang w:eastAsia="zh-CN"/>
        </w:rPr>
        <w:t>This</w:t>
      </w:r>
      <w:r>
        <w:rPr>
          <w:rFonts w:eastAsia="SimSun" w:hint="eastAsia"/>
          <w:lang w:eastAsia="zh-CN"/>
        </w:rPr>
        <w:t xml:space="preserve"> paper</w:t>
      </w:r>
      <w:r w:rsidR="0099263F">
        <w:rPr>
          <w:rFonts w:eastAsia="SimSun"/>
          <w:lang w:eastAsia="zh-CN"/>
        </w:rPr>
        <w:t xml:space="preserve"> </w:t>
      </w:r>
      <w:r w:rsidR="00A967D7">
        <w:rPr>
          <w:rFonts w:eastAsia="SimSun"/>
          <w:lang w:eastAsia="zh-CN"/>
        </w:rPr>
        <w:t xml:space="preserve">proposes the following </w:t>
      </w:r>
      <w:r w:rsidR="00490D56">
        <w:rPr>
          <w:rFonts w:eastAsia="SimSun"/>
          <w:lang w:eastAsia="zh-CN"/>
        </w:rPr>
        <w:t>solutions</w:t>
      </w:r>
      <w:r w:rsidR="00A967D7">
        <w:rPr>
          <w:rFonts w:eastAsia="SimSun"/>
          <w:lang w:eastAsia="zh-CN"/>
        </w:rPr>
        <w:t xml:space="preserve"> </w:t>
      </w:r>
      <w:r w:rsidR="00490D56">
        <w:rPr>
          <w:rFonts w:eastAsia="SimSun"/>
          <w:lang w:eastAsia="zh-CN"/>
        </w:rPr>
        <w:t>to address the issue for Rx beam switch in</w:t>
      </w:r>
      <w:r w:rsidR="00A967D7">
        <w:rPr>
          <w:rFonts w:eastAsia="SimSun"/>
          <w:lang w:eastAsia="zh-CN"/>
        </w:rPr>
        <w:t xml:space="preserve"> </w:t>
      </w:r>
      <w:r w:rsidR="00097E22" w:rsidRPr="00097E22">
        <w:rPr>
          <w:rFonts w:eastAsia="SimSun"/>
          <w:lang w:eastAsia="zh-CN"/>
        </w:rPr>
        <w:t xml:space="preserve">intra-band non-contiguous </w:t>
      </w:r>
      <w:r w:rsidR="00490D56">
        <w:rPr>
          <w:rFonts w:eastAsia="SimSun"/>
          <w:lang w:eastAsia="zh-CN"/>
        </w:rPr>
        <w:t xml:space="preserve">NR </w:t>
      </w:r>
      <w:r w:rsidR="00D72AC9">
        <w:rPr>
          <w:rFonts w:eastAsia="SimSun"/>
          <w:lang w:eastAsia="zh-CN"/>
        </w:rPr>
        <w:t>CA</w:t>
      </w:r>
      <w:r w:rsidR="00A967D7">
        <w:rPr>
          <w:rFonts w:eastAsia="SimSun"/>
          <w:lang w:eastAsia="zh-CN"/>
        </w:rPr>
        <w:t>:</w:t>
      </w:r>
    </w:p>
    <w:p w:rsidR="00C72A48" w:rsidRPr="00EC2C55" w:rsidRDefault="00C72A48" w:rsidP="00C72A48">
      <w:pPr>
        <w:jc w:val="both"/>
        <w:rPr>
          <w:b/>
          <w:i/>
        </w:rPr>
      </w:pPr>
      <w:r>
        <w:rPr>
          <w:b/>
          <w:i/>
        </w:rPr>
        <w:t>Proposal 1</w:t>
      </w:r>
      <w:r w:rsidRPr="00E72043">
        <w:rPr>
          <w:b/>
          <w:i/>
        </w:rPr>
        <w:t>:</w:t>
      </w:r>
      <w:r>
        <w:rPr>
          <w:b/>
          <w:i/>
        </w:rPr>
        <w:t xml:space="preserve"> </w:t>
      </w:r>
      <w:r w:rsidRPr="00DC6855">
        <w:rPr>
          <w:b/>
          <w:i/>
        </w:rPr>
        <w:t xml:space="preserve">For intra-band non-contiguous </w:t>
      </w:r>
      <w:r>
        <w:rPr>
          <w:b/>
          <w:i/>
        </w:rPr>
        <w:t>CA in FR2</w:t>
      </w:r>
      <w:r w:rsidRPr="00DC6855">
        <w:rPr>
          <w:b/>
          <w:i/>
        </w:rPr>
        <w:t>, TAE shall not exceed 260ns</w:t>
      </w:r>
      <w:r w:rsidRPr="00EC2C55">
        <w:rPr>
          <w:b/>
          <w:i/>
        </w:rPr>
        <w:t>.</w:t>
      </w:r>
    </w:p>
    <w:p w:rsidR="00097E22" w:rsidRDefault="00C72A48" w:rsidP="00627D4A">
      <w:pPr>
        <w:jc w:val="both"/>
        <w:rPr>
          <w:b/>
          <w:i/>
        </w:rPr>
      </w:pPr>
      <w:r>
        <w:rPr>
          <w:b/>
          <w:i/>
        </w:rPr>
        <w:t>Proposal 2:</w:t>
      </w:r>
      <w:r w:rsidRPr="00EC2C55">
        <w:rPr>
          <w:b/>
          <w:i/>
        </w:rPr>
        <w:t xml:space="preserve"> MRTD</w:t>
      </w:r>
      <w:r>
        <w:rPr>
          <w:b/>
          <w:i/>
        </w:rPr>
        <w:t xml:space="preserve"> requirement for i</w:t>
      </w:r>
      <w:r w:rsidRPr="00EC2C55">
        <w:rPr>
          <w:b/>
          <w:i/>
        </w:rPr>
        <w:t xml:space="preserve">ntra-band non-contiguous </w:t>
      </w:r>
      <w:r>
        <w:rPr>
          <w:b/>
          <w:i/>
        </w:rPr>
        <w:t xml:space="preserve">CA in FR2 is </w:t>
      </w:r>
      <w:r w:rsidRPr="00DC6855">
        <w:rPr>
          <w:b/>
          <w:i/>
        </w:rPr>
        <w:t>260ns</w:t>
      </w:r>
      <w:r w:rsidR="00097E22" w:rsidRPr="00627D4A">
        <w:rPr>
          <w:b/>
          <w:i/>
        </w:rPr>
        <w:t>.</w:t>
      </w:r>
    </w:p>
    <w:p w:rsidR="00F970FD" w:rsidRPr="00EC2C55" w:rsidRDefault="00F970FD" w:rsidP="00F970FD">
      <w:pPr>
        <w:jc w:val="both"/>
        <w:rPr>
          <w:b/>
          <w:i/>
        </w:rPr>
      </w:pPr>
      <w:r>
        <w:rPr>
          <w:b/>
          <w:i/>
        </w:rPr>
        <w:t>Proposal 3</w:t>
      </w:r>
      <w:r w:rsidRPr="00E72043">
        <w:rPr>
          <w:b/>
          <w:i/>
        </w:rPr>
        <w:t>:</w:t>
      </w:r>
      <w:r>
        <w:rPr>
          <w:b/>
          <w:i/>
        </w:rPr>
        <w:t xml:space="preserve"> </w:t>
      </w:r>
      <w:r w:rsidRPr="00DC6855">
        <w:rPr>
          <w:b/>
          <w:i/>
        </w:rPr>
        <w:t xml:space="preserve">For intra-band non-contiguous </w:t>
      </w:r>
      <w:r>
        <w:rPr>
          <w:b/>
          <w:i/>
        </w:rPr>
        <w:t>CA in FR1</w:t>
      </w:r>
      <w:r w:rsidRPr="00DC6855">
        <w:rPr>
          <w:b/>
          <w:i/>
        </w:rPr>
        <w:t>, TAE shall not exceed 260ns</w:t>
      </w:r>
      <w:r w:rsidRPr="00EC2C55">
        <w:rPr>
          <w:b/>
          <w:i/>
        </w:rPr>
        <w:t>.</w:t>
      </w:r>
    </w:p>
    <w:p w:rsidR="00F970FD" w:rsidRPr="00627D4A" w:rsidRDefault="00F970FD" w:rsidP="00627D4A">
      <w:pPr>
        <w:jc w:val="both"/>
        <w:rPr>
          <w:b/>
          <w:i/>
        </w:rPr>
      </w:pPr>
      <w:r>
        <w:rPr>
          <w:b/>
          <w:i/>
        </w:rPr>
        <w:t>Proposal 4:</w:t>
      </w:r>
      <w:r w:rsidRPr="00EC2C55">
        <w:rPr>
          <w:b/>
          <w:i/>
        </w:rPr>
        <w:t xml:space="preserve"> MRTD</w:t>
      </w:r>
      <w:r>
        <w:rPr>
          <w:b/>
          <w:i/>
        </w:rPr>
        <w:t xml:space="preserve"> requirement for i</w:t>
      </w:r>
      <w:r w:rsidRPr="00EC2C55">
        <w:rPr>
          <w:b/>
          <w:i/>
        </w:rPr>
        <w:t xml:space="preserve">ntra-band non-contiguous </w:t>
      </w:r>
      <w:r>
        <w:rPr>
          <w:b/>
          <w:i/>
        </w:rPr>
        <w:t xml:space="preserve">CA in FR1 is </w:t>
      </w:r>
      <w:r w:rsidRPr="00DC6855">
        <w:rPr>
          <w:b/>
          <w:i/>
        </w:rPr>
        <w:t>260ns</w:t>
      </w:r>
      <w:r w:rsidRPr="00EC2C55">
        <w:rPr>
          <w:b/>
          <w:i/>
        </w:rPr>
        <w:t>.</w:t>
      </w:r>
    </w:p>
    <w:p w:rsidR="00094D01" w:rsidRPr="005B7538" w:rsidRDefault="00094D01" w:rsidP="007B7431">
      <w:pPr>
        <w:pStyle w:val="Heading1"/>
        <w:numPr>
          <w:ilvl w:val="0"/>
          <w:numId w:val="1"/>
        </w:numPr>
        <w:tabs>
          <w:tab w:val="num" w:pos="45"/>
        </w:tabs>
        <w:ind w:left="405"/>
        <w:rPr>
          <w:sz w:val="32"/>
          <w:szCs w:val="32"/>
        </w:rPr>
      </w:pPr>
      <w:r w:rsidRPr="005B7538">
        <w:rPr>
          <w:rFonts w:hint="eastAsia"/>
          <w:sz w:val="32"/>
          <w:szCs w:val="32"/>
        </w:rPr>
        <w:t>References</w:t>
      </w:r>
    </w:p>
    <w:p w:rsidR="00A82896" w:rsidRPr="00806F11" w:rsidRDefault="00896227" w:rsidP="00806F11">
      <w:pPr>
        <w:pStyle w:val="Reference"/>
        <w:keepLines/>
        <w:spacing w:after="180"/>
        <w:ind w:left="360" w:hanging="360"/>
        <w:rPr>
          <w:lang w:val="en-US"/>
        </w:rPr>
      </w:pPr>
      <w:r>
        <w:rPr>
          <w:lang w:eastAsia="en-US"/>
        </w:rPr>
        <w:t>[1</w:t>
      </w:r>
      <w:r w:rsidR="00FE02C6">
        <w:rPr>
          <w:lang w:eastAsia="en-US"/>
        </w:rPr>
        <w:t xml:space="preserve">] </w:t>
      </w:r>
      <w:r w:rsidR="00A82896">
        <w:rPr>
          <w:lang w:eastAsia="en-US"/>
        </w:rPr>
        <w:tab/>
      </w:r>
      <w:r w:rsidR="00806F11" w:rsidRPr="00806F11">
        <w:rPr>
          <w:bCs/>
          <w:lang w:val="en-US"/>
        </w:rPr>
        <w:t>R4-1816126</w:t>
      </w:r>
      <w:r w:rsidR="00A82896">
        <w:t>, “</w:t>
      </w:r>
      <w:r w:rsidR="00806F11" w:rsidRPr="00806F11">
        <w:rPr>
          <w:lang w:eastAsia="en-US"/>
        </w:rPr>
        <w:t>Wayforward on UE Rx beam switch under FR2 intra-band NCCA MRTD</w:t>
      </w:r>
      <w:r w:rsidR="00A82896">
        <w:rPr>
          <w:lang w:eastAsia="en-US"/>
        </w:rPr>
        <w:t xml:space="preserve">”, </w:t>
      </w:r>
      <w:r w:rsidR="00806F11" w:rsidRPr="00806F11">
        <w:rPr>
          <w:lang w:eastAsia="en-US"/>
        </w:rPr>
        <w:t>Mediatek</w:t>
      </w:r>
      <w:r w:rsidR="00806F11">
        <w:rPr>
          <w:lang w:eastAsia="en-US"/>
        </w:rPr>
        <w:t>, RAN4</w:t>
      </w:r>
      <w:r w:rsidR="00A82896">
        <w:rPr>
          <w:lang w:eastAsia="en-US"/>
        </w:rPr>
        <w:t xml:space="preserve"> </w:t>
      </w:r>
      <w:r w:rsidR="00A71652">
        <w:rPr>
          <w:lang w:eastAsia="en-US"/>
        </w:rPr>
        <w:t>#</w:t>
      </w:r>
      <w:r w:rsidR="00806F11">
        <w:rPr>
          <w:lang w:eastAsia="en-US"/>
        </w:rPr>
        <w:t>89</w:t>
      </w:r>
      <w:r w:rsidR="00A82896">
        <w:rPr>
          <w:lang w:eastAsia="en-US"/>
        </w:rPr>
        <w:t>.</w:t>
      </w:r>
    </w:p>
    <w:p w:rsidR="00CF1B85" w:rsidRDefault="00CF1B85" w:rsidP="0099263F">
      <w:pPr>
        <w:pStyle w:val="Reference"/>
        <w:keepLines/>
        <w:spacing w:after="180"/>
        <w:ind w:left="0" w:firstLine="0"/>
        <w:jc w:val="both"/>
        <w:rPr>
          <w:lang w:eastAsia="en-US"/>
        </w:rPr>
      </w:pPr>
    </w:p>
    <w:sectPr w:rsidR="00CF1B8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5E9" w:rsidRDefault="00C435E9">
      <w:pPr>
        <w:spacing w:after="0"/>
      </w:pPr>
      <w:r>
        <w:separator/>
      </w:r>
    </w:p>
  </w:endnote>
  <w:endnote w:type="continuationSeparator" w:id="0">
    <w:p w:rsidR="00C435E9" w:rsidRDefault="00C435E9">
      <w:pPr>
        <w:spacing w:after="0"/>
      </w:pPr>
      <w:r>
        <w:continuationSeparator/>
      </w:r>
    </w:p>
  </w:endnote>
  <w:endnote w:type="continuationNotice" w:id="1">
    <w:p w:rsidR="00C435E9" w:rsidRDefault="00C43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5E9" w:rsidRDefault="00C435E9">
      <w:pPr>
        <w:spacing w:after="0"/>
      </w:pPr>
      <w:r>
        <w:separator/>
      </w:r>
    </w:p>
  </w:footnote>
  <w:footnote w:type="continuationSeparator" w:id="0">
    <w:p w:rsidR="00C435E9" w:rsidRDefault="00C435E9">
      <w:pPr>
        <w:spacing w:after="0"/>
      </w:pPr>
      <w:r>
        <w:continuationSeparator/>
      </w:r>
    </w:p>
  </w:footnote>
  <w:footnote w:type="continuationNotice" w:id="1">
    <w:p w:rsidR="00C435E9" w:rsidRDefault="00C435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AD" w:rsidRDefault="00C54AAD">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5"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7"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5"/>
  </w:num>
  <w:num w:numId="13">
    <w:abstractNumId w:val="11"/>
  </w:num>
  <w:num w:numId="14">
    <w:abstractNumId w:val="28"/>
  </w:num>
  <w:num w:numId="15">
    <w:abstractNumId w:val="29"/>
  </w:num>
  <w:num w:numId="16">
    <w:abstractNumId w:val="2"/>
  </w:num>
  <w:num w:numId="17">
    <w:abstractNumId w:val="7"/>
  </w:num>
  <w:num w:numId="18">
    <w:abstractNumId w:val="16"/>
  </w:num>
  <w:num w:numId="19">
    <w:abstractNumId w:val="6"/>
  </w:num>
  <w:num w:numId="20">
    <w:abstractNumId w:val="12"/>
  </w:num>
  <w:num w:numId="21">
    <w:abstractNumId w:val="20"/>
  </w:num>
  <w:num w:numId="22">
    <w:abstractNumId w:val="17"/>
  </w:num>
  <w:num w:numId="23">
    <w:abstractNumId w:val="10"/>
  </w:num>
  <w:num w:numId="24">
    <w:abstractNumId w:val="9"/>
  </w:num>
  <w:num w:numId="25">
    <w:abstractNumId w:val="21"/>
  </w:num>
  <w:num w:numId="26">
    <w:abstractNumId w:val="18"/>
  </w:num>
  <w:num w:numId="27">
    <w:abstractNumId w:val="19"/>
  </w:num>
  <w:num w:numId="28">
    <w:abstractNumId w:val="25"/>
  </w:num>
  <w:num w:numId="29">
    <w:abstractNumId w:val="27"/>
  </w:num>
  <w:num w:numId="30">
    <w:abstractNumId w:val="14"/>
  </w:num>
  <w:num w:numId="31">
    <w:abstractNumId w:val="26"/>
  </w:num>
  <w:num w:numId="32">
    <w:abstractNumId w:val="22"/>
  </w:num>
  <w:num w:numId="33">
    <w:abstractNumId w:val="3"/>
  </w:num>
  <w:num w:numId="34">
    <w:abstractNumId w:val="4"/>
  </w:num>
  <w:num w:numId="35">
    <w:abstractNumId w:val="30"/>
  </w:num>
  <w:num w:numId="3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45588"/>
    <w:rsid w:val="0035099A"/>
    <w:rsid w:val="003519AF"/>
    <w:rsid w:val="003527DD"/>
    <w:rsid w:val="00352C9D"/>
    <w:rsid w:val="00354AC7"/>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323"/>
    <w:rsid w:val="00592401"/>
    <w:rsid w:val="00592642"/>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A57"/>
    <w:rsid w:val="005C0C42"/>
    <w:rsid w:val="005C187E"/>
    <w:rsid w:val="005C19C4"/>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4184"/>
    <w:rsid w:val="00684AA6"/>
    <w:rsid w:val="006856C0"/>
    <w:rsid w:val="00687C17"/>
    <w:rsid w:val="0069017A"/>
    <w:rsid w:val="00690490"/>
    <w:rsid w:val="006918EE"/>
    <w:rsid w:val="00692682"/>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66BD"/>
    <w:rsid w:val="007D0352"/>
    <w:rsid w:val="007D12BA"/>
    <w:rsid w:val="007D1486"/>
    <w:rsid w:val="007D38AC"/>
    <w:rsid w:val="007D5A11"/>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6E4"/>
    <w:rsid w:val="008809D5"/>
    <w:rsid w:val="00880DC8"/>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695"/>
    <w:rsid w:val="00A54962"/>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468"/>
    <w:rsid w:val="00D927B0"/>
    <w:rsid w:val="00D927FD"/>
    <w:rsid w:val="00D93843"/>
    <w:rsid w:val="00D94134"/>
    <w:rsid w:val="00D95597"/>
    <w:rsid w:val="00D959DF"/>
    <w:rsid w:val="00D969AA"/>
    <w:rsid w:val="00D9761B"/>
    <w:rsid w:val="00D97FC3"/>
    <w:rsid w:val="00DA180D"/>
    <w:rsid w:val="00DA31CD"/>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8DE"/>
    <w:rsid w:val="00EE6A2A"/>
    <w:rsid w:val="00EE7C11"/>
    <w:rsid w:val="00EF054A"/>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DE34C45-626B-4970-95EC-27597445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905</Words>
  <Characters>4472</Characters>
  <Application>Microsoft Office Word</Application>
  <DocSecurity>0</DocSecurity>
  <Lines>76</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CTPClassification=CTP_NT, CTPClassification=CTP_IC</cp:keywords>
  <dc:description/>
  <cp:lastModifiedBy>Intel</cp:lastModifiedBy>
  <cp:revision>22</cp:revision>
  <cp:lastPrinted>2016-08-05T18:54:00Z</cp:lastPrinted>
  <dcterms:created xsi:type="dcterms:W3CDTF">2019-02-06T01:09:00Z</dcterms:created>
  <dcterms:modified xsi:type="dcterms:W3CDTF">2019-02-15T19:51:00Z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98df6322-8f97-4488-9c03-8c5e8a6baaf3</vt:lpwstr>
  </property>
  <property fmtid="{D5CDD505-2E9C-101B-9397-08002B2CF9AE}" pid="21" name="CTP_BU">
    <vt:lpwstr>NEXT GEN &amp; STANDARDS GROUP</vt:lpwstr>
  </property>
  <property fmtid="{D5CDD505-2E9C-101B-9397-08002B2CF9AE}" pid="22" name="CTP_TimeStamp">
    <vt:lpwstr>2019-02-15 19:51:13Z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